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C618CF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C618CF" w:rsidRPr="004036C0">
        <w:rPr>
          <w:rFonts w:ascii="Times New Roman" w:hAnsi="Times New Roman"/>
          <w:sz w:val="20"/>
          <w:szCs w:val="20"/>
        </w:rPr>
        <w:t>wałbrzyski, kłodzki,</w:t>
      </w:r>
      <w:r w:rsidR="00C618CF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C618CF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C618CF">
        <w:rPr>
          <w:rFonts w:ascii="Times New Roman" w:hAnsi="Times New Roman"/>
          <w:sz w:val="20"/>
          <w:szCs w:val="20"/>
        </w:rPr>
        <w:t xml:space="preserve"> i Wrocław</w:t>
      </w:r>
      <w:r w:rsidR="00C618CF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Pr="004036C0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lastRenderedPageBreak/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</w:t>
      </w:r>
      <w:r w:rsidR="00FA2DFB" w:rsidRPr="004036C0">
        <w:rPr>
          <w:rFonts w:ascii="Times New Roman" w:hAnsi="Times New Roman"/>
          <w:sz w:val="20"/>
          <w:szCs w:val="20"/>
        </w:rPr>
        <w:lastRenderedPageBreak/>
        <w:t xml:space="preserve">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 xml:space="preserve">x koszt zgodnie ze wskazaniem w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lastRenderedPageBreak/>
        <w:t>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F6" w:rsidRDefault="000224F6" w:rsidP="00B75840">
      <w:pPr>
        <w:spacing w:after="0" w:line="240" w:lineRule="auto"/>
      </w:pPr>
      <w:r>
        <w:separator/>
      </w:r>
    </w:p>
  </w:endnote>
  <w:endnote w:type="continuationSeparator" w:id="1">
    <w:p w:rsidR="000224F6" w:rsidRDefault="000224F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F6" w:rsidRDefault="000224F6" w:rsidP="00B75840">
      <w:pPr>
        <w:spacing w:after="0" w:line="240" w:lineRule="auto"/>
      </w:pPr>
      <w:r>
        <w:separator/>
      </w:r>
    </w:p>
  </w:footnote>
  <w:footnote w:type="continuationSeparator" w:id="1">
    <w:p w:rsidR="000224F6" w:rsidRDefault="000224F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823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823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224F6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555B"/>
    <w:rsid w:val="002C6D75"/>
    <w:rsid w:val="002F5031"/>
    <w:rsid w:val="0030327B"/>
    <w:rsid w:val="003033FC"/>
    <w:rsid w:val="00304BDD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18CF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823A8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5620</Words>
  <Characters>33723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2020-01-08T08:45:00Z</cp:lastPrinted>
  <dcterms:created xsi:type="dcterms:W3CDTF">2021-02-16T14:19:00Z</dcterms:created>
  <dcterms:modified xsi:type="dcterms:W3CDTF">2021-02-17T08:52:00Z</dcterms:modified>
</cp:coreProperties>
</file>